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952"/>
        <w:gridCol w:w="2425"/>
      </w:tblGrid>
      <w:tr w:rsidR="00485B62" w:rsidRPr="00485B62" w14:paraId="01FCB80B" w14:textId="77777777" w:rsidTr="00DC62DE">
        <w:trPr>
          <w:trHeight w:val="841"/>
        </w:trPr>
        <w:tc>
          <w:tcPr>
            <w:tcW w:w="9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7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372FEE3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DC62DE">
              <w:rPr>
                <w:i/>
                <w:color w:val="auto"/>
                <w:sz w:val="24"/>
                <w:szCs w:val="24"/>
                <w:lang w:val="sv-SE"/>
              </w:rPr>
              <w:t xml:space="preserve"> KTK23/2025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57131A68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EE19FC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DC62DE">
        <w:trPr>
          <w:trHeight w:val="1125"/>
        </w:trPr>
        <w:tc>
          <w:tcPr>
            <w:tcW w:w="9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31069F77" w:rsidR="00260453" w:rsidRPr="00EE19FC" w:rsidRDefault="00EE19FC" w:rsidP="00DC62DE">
            <w:pPr>
              <w:shd w:val="clear" w:color="auto" w:fill="FFFFFF"/>
              <w:ind w:left="-106" w:right="-102"/>
              <w:jc w:val="center"/>
              <w:rPr>
                <w:color w:val="auto"/>
                <w:sz w:val="28"/>
                <w:szCs w:val="28"/>
              </w:rPr>
            </w:pPr>
            <w:r w:rsidRPr="00EE19FC">
              <w:rPr>
                <w:b/>
                <w:bCs/>
                <w:color w:val="auto"/>
                <w:sz w:val="28"/>
                <w:szCs w:val="28"/>
              </w:rPr>
              <w:t>NUÔI DƯỠNG NGƯỜI BỆNH</w:t>
            </w:r>
            <w:r w:rsidR="00DC62DE">
              <w:rPr>
                <w:color w:val="auto"/>
                <w:sz w:val="28"/>
                <w:szCs w:val="28"/>
              </w:rPr>
              <w:t xml:space="preserve"> </w:t>
            </w:r>
            <w:r w:rsidR="00DC62DE">
              <w:rPr>
                <w:b/>
                <w:bCs/>
                <w:color w:val="auto"/>
                <w:sz w:val="28"/>
                <w:szCs w:val="28"/>
              </w:rPr>
              <w:t>BẰNG ĐƯỜNG TRUYỀN TĨNH MẠCH</w:t>
            </w:r>
            <w:r w:rsidRPr="00EE19FC">
              <w:rPr>
                <w:b/>
                <w:bCs/>
                <w:color w:val="auto"/>
                <w:sz w:val="28"/>
                <w:szCs w:val="28"/>
              </w:rPr>
              <w:t xml:space="preserve"> NGOẠI BIÊN</w:t>
            </w:r>
          </w:p>
        </w:tc>
        <w:tc>
          <w:tcPr>
            <w:tcW w:w="117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DC62DE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DC62DE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DC62DE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DC62DE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DC62DE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1B8B9767" w:rsidR="00F240A2" w:rsidRPr="00322D19" w:rsidRDefault="005C681F" w:rsidP="00DC62DE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rPr>
          <w:rFonts w:cs="Times New Roman"/>
          <w:szCs w:val="28"/>
        </w:rPr>
      </w:pPr>
      <w:r w:rsidRPr="005C681F">
        <w:rPr>
          <w:rFonts w:cs="Times New Roman"/>
          <w:szCs w:val="28"/>
        </w:rPr>
        <w:t>Quyết định 2831/QĐ-BYT ngày 04/7/2019 của Bộ Y tế ban hành tài liệu hướng dẫn quy trình kỹ thuật Nhi khoa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01153599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I. ĐỊNH NGHĨA</w:t>
      </w:r>
    </w:p>
    <w:p w14:paraId="25B5DA7E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Nuôi dưỡng người bệnh hoàn toàn qua đường tĩnh mạch ngoại vi là đưa các chất dinh dưỡng qua đường tĩnh mạch và</w:t>
      </w:r>
      <w:bookmarkStart w:id="0" w:name="_GoBack"/>
      <w:bookmarkEnd w:id="0"/>
      <w:r w:rsidRPr="00EE19FC">
        <w:rPr>
          <w:rFonts w:eastAsia="Times New Roman" w:cs="Times New Roman"/>
          <w:szCs w:val="28"/>
        </w:rPr>
        <w:t>o máu để nuôi dưỡng cơ thể. Các chất dinh dưỡng bao gồm: protein, carbohydrate, lipid, nước, muối khoáng và các chất vi lượng.</w:t>
      </w:r>
    </w:p>
    <w:p w14:paraId="4C8BD82F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II. CHỈ ĐỊNH</w:t>
      </w:r>
    </w:p>
    <w:p w14:paraId="2BF16232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Người bệnh không thể nuôi dưỡng qua ống thông dạ dày:</w:t>
      </w:r>
    </w:p>
    <w:p w14:paraId="6650F586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Mới phẫu thuật ở đường tiêu hoá trên.</w:t>
      </w:r>
    </w:p>
    <w:p w14:paraId="4AE7FBF5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Tự tử: uống acid hoặc kiềm mạnh.</w:t>
      </w:r>
    </w:p>
    <w:p w14:paraId="40B9BD85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Tâm thần phân liệt thể không chịu ăn, chán ăn.</w:t>
      </w:r>
    </w:p>
    <w:p w14:paraId="30A87727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Viêm tuỵ cấp.</w:t>
      </w:r>
    </w:p>
    <w:p w14:paraId="49EFD2DB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Sơ sinh thiếu tháng.</w:t>
      </w:r>
    </w:p>
    <w:p w14:paraId="10790489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</w:rPr>
        <w:t>III. CHỐNG CHỈ ĐỊNH</w:t>
      </w:r>
    </w:p>
    <w:p w14:paraId="0DAFC19B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Các trường hợp dị ứng với các thành phần nuôi dưỡng.</w:t>
      </w:r>
    </w:p>
    <w:p w14:paraId="2AA315E0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Khi người bệnh còn Tình trạng nặng như sốc, rối loạn nội môi nặng, cần điều trị ổn định trước.</w:t>
      </w:r>
    </w:p>
    <w:p w14:paraId="4D8AFF8D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IV. CHUẨN BỊ</w:t>
      </w:r>
      <w:r w:rsidRPr="00EE19FC">
        <w:rPr>
          <w:rFonts w:eastAsia="Times New Roman" w:cs="Times New Roman"/>
          <w:szCs w:val="28"/>
        </w:rPr>
        <w:br/>
      </w: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1. Người thực hiện</w:t>
      </w:r>
    </w:p>
    <w:p w14:paraId="687AA182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 xml:space="preserve">– Bác </w:t>
      </w:r>
      <w:proofErr w:type="gramStart"/>
      <w:r w:rsidRPr="00EE19FC">
        <w:rPr>
          <w:rFonts w:eastAsia="Times New Roman" w:cs="Times New Roman"/>
          <w:szCs w:val="28"/>
        </w:rPr>
        <w:t>sĩ  chuyên</w:t>
      </w:r>
      <w:proofErr w:type="gramEnd"/>
      <w:r w:rsidRPr="00EE19FC">
        <w:rPr>
          <w:rFonts w:eastAsia="Times New Roman" w:cs="Times New Roman"/>
          <w:szCs w:val="28"/>
        </w:rPr>
        <w:t xml:space="preserve"> khoa hồi sức cấp cứu.</w:t>
      </w:r>
    </w:p>
    <w:p w14:paraId="4392D789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Người phụ: y tá (điều dưỡng).</w:t>
      </w:r>
    </w:p>
    <w:p w14:paraId="73637E67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Mặc áo, mũ, khẩu trang vô khuẩn.</w:t>
      </w:r>
    </w:p>
    <w:p w14:paraId="4AF53B3D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 xml:space="preserve">– Người bệnh: được giải thích </w:t>
      </w:r>
      <w:proofErr w:type="gramStart"/>
      <w:r w:rsidRPr="00EE19FC">
        <w:rPr>
          <w:rFonts w:eastAsia="Times New Roman" w:cs="Times New Roman"/>
          <w:szCs w:val="28"/>
        </w:rPr>
        <w:t>kĩ ,</w:t>
      </w:r>
      <w:proofErr w:type="gramEnd"/>
      <w:r w:rsidRPr="00EE19FC">
        <w:rPr>
          <w:rFonts w:eastAsia="Times New Roman" w:cs="Times New Roman"/>
          <w:szCs w:val="28"/>
        </w:rPr>
        <w:t xml:space="preserve"> ký giấy đồng ý thực hiện kỹ thuật (hoặc gia đình ký).</w:t>
      </w:r>
    </w:p>
    <w:p w14:paraId="3CEE7CE2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2. Phương tiện</w:t>
      </w:r>
    </w:p>
    <w:p w14:paraId="2439CF42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lastRenderedPageBreak/>
        <w:t>– Các dụng cụ để luồn ống thông qua tĩnh mạch như kim luồn các kích cỡ.</w:t>
      </w:r>
    </w:p>
    <w:p w14:paraId="58D0D2B1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Các bộ dây truyền dịch và các lọ dung dịch.</w:t>
      </w:r>
    </w:p>
    <w:p w14:paraId="5E2FC796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Bơm truyền đếm giọt, bơm điện tử càng tốt.</w:t>
      </w:r>
    </w:p>
    <w:p w14:paraId="6A08A5EC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Nơi thực hiện: tại giường khoa hồi sức cấp cứu, trong buồng vô khuẩn.</w:t>
      </w:r>
    </w:p>
    <w:p w14:paraId="68D2462B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V. CÁC BƯỚC TIẾN HÀNH</w:t>
      </w:r>
      <w:r w:rsidRPr="00EE19FC">
        <w:rPr>
          <w:rFonts w:eastAsia="Times New Roman" w:cs="Times New Roman"/>
          <w:szCs w:val="28"/>
        </w:rPr>
        <w:br/>
      </w: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1. Kiểm tra hồ sơ</w:t>
      </w:r>
    </w:p>
    <w:p w14:paraId="65DACDFD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Kiểm tra hồ sơ theo quy định của Bộ Y tế.</w:t>
      </w:r>
    </w:p>
    <w:p w14:paraId="161D521B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2. Kiểm tra người bệnh</w:t>
      </w:r>
      <w:r w:rsidRPr="00EE19FC">
        <w:rPr>
          <w:rFonts w:eastAsia="Times New Roman" w:cs="Times New Roman"/>
          <w:szCs w:val="28"/>
        </w:rPr>
        <w:br/>
      </w: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3. Thực hiện kỹ thuật</w:t>
      </w:r>
    </w:p>
    <w:p w14:paraId="7DE39E8F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Đặt đường truyền tĩnh mạch ngoại vi.</w:t>
      </w:r>
    </w:p>
    <w:p w14:paraId="2046E277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Đánh giá người bệnh: dấu hiệu sinh tồn, cân nặng, tình trạng dinh dưỡng hiện tại, bệnh lý hiện tại và bệnh lý nền.</w:t>
      </w:r>
    </w:p>
    <w:p w14:paraId="5A6AB54A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Xét nghiệm: công thức máu, điện giải đồ, đường huyết.</w:t>
      </w:r>
    </w:p>
    <w:p w14:paraId="4AB9AB5A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nhu cầu năng lượng cần thiết</w:t>
      </w:r>
    </w:p>
    <w:p w14:paraId="4FEF82DF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nhu cầu dịch cần thiết</w:t>
      </w:r>
    </w:p>
    <w:p w14:paraId="327C836C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thành phần proein, lipid</w:t>
      </w:r>
    </w:p>
    <w:p w14:paraId="6DCA9AFA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thể tích điện giải</w:t>
      </w:r>
    </w:p>
    <w:p w14:paraId="10A8535F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thể tích glucose</w:t>
      </w:r>
    </w:p>
    <w:p w14:paraId="24932261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Tính nồng độ thẩm thấu hỗn dịch glucose – acid amine – điện giải dựa vào công thức sau: (áp suất thẩm thấu của dịch nuôi dưỡng ≤ 900 mosm/l) – mOsm/L = [amino acid (g/L) x</w:t>
      </w:r>
      <w:proofErr w:type="gramStart"/>
      <w:r w:rsidRPr="00EE19FC">
        <w:rPr>
          <w:rFonts w:eastAsia="Times New Roman" w:cs="Times New Roman"/>
          <w:szCs w:val="28"/>
        </w:rPr>
        <w:t>10 ]</w:t>
      </w:r>
      <w:proofErr w:type="gramEnd"/>
      <w:r w:rsidRPr="00EE19FC">
        <w:rPr>
          <w:rFonts w:eastAsia="Times New Roman" w:cs="Times New Roman"/>
          <w:szCs w:val="28"/>
        </w:rPr>
        <w:t xml:space="preserve"> + [dextrose(g) x 5 ] + ([mEq Na + mEq K] x 2)/L + (mEq Ca x 1,4 )/L</w:t>
      </w:r>
    </w:p>
    <w:p w14:paraId="3B9AA5ED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</w:rPr>
        <w:t>– Tính năng lượng thực tế cung cấp</w:t>
      </w:r>
    </w:p>
    <w:p w14:paraId="36DC41E6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VI. THEO DÕI VÀ XỬ TRÍ BIẾN CHỨNG</w:t>
      </w:r>
      <w:r w:rsidRPr="00EE19FC">
        <w:rPr>
          <w:rFonts w:eastAsia="Times New Roman" w:cs="Times New Roman"/>
          <w:szCs w:val="28"/>
        </w:rPr>
        <w:br/>
      </w: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t>1. Theo dõi</w:t>
      </w:r>
    </w:p>
    <w:p w14:paraId="3AD8F55D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1.1. Hàng ngày</w:t>
      </w:r>
    </w:p>
    <w:p w14:paraId="3049BE56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Tình trạng lâm sàng: cân nặng, huyết áp, mạch, nhịp thở, nước tiểu hàng ngày.</w:t>
      </w:r>
    </w:p>
    <w:p w14:paraId="1817C302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Số lượng dịch vào ra.</w:t>
      </w:r>
    </w:p>
    <w:p w14:paraId="62A0EE6E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1.2. Hàng tuần</w:t>
      </w:r>
    </w:p>
    <w:p w14:paraId="52E7CF78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Máu: điện giải, urê, đường, creatinin, phosphatase kiềm, GOT, GPT, bilirubin, huyết đồ.</w:t>
      </w:r>
    </w:p>
    <w:p w14:paraId="220F22CF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Nước tiểu: nitơ, urê niệu /24 giờ.</w:t>
      </w:r>
    </w:p>
    <w:p w14:paraId="39B72E79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Bilan nitơ urê niệu (+) t   0 – 4 g/ngày là đảm bảo cân bằng giữa dị hoá và đồng hoá.</w:t>
      </w:r>
    </w:p>
    <w:p w14:paraId="437EB88A" w14:textId="77777777" w:rsidR="00EE19FC" w:rsidRPr="00EE19FC" w:rsidRDefault="00EE19FC" w:rsidP="00EE19FC">
      <w:pPr>
        <w:spacing w:line="240" w:lineRule="auto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b/>
          <w:bCs/>
          <w:szCs w:val="28"/>
          <w:shd w:val="clear" w:color="auto" w:fill="FFFFFF"/>
        </w:rPr>
        <w:lastRenderedPageBreak/>
        <w:t>2. Biến chứng và xử trí</w:t>
      </w:r>
    </w:p>
    <w:p w14:paraId="6F7A6524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Viêm tắc tĩnh mạch: phải thay đường tĩnh mạch khác.</w:t>
      </w:r>
    </w:p>
    <w:p w14:paraId="4586FC35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Nhiễm khuẩn: Rút đường truyền tĩnh mạch cũ, lấy lại đường truyền mới ở vị trí khác.</w:t>
      </w:r>
    </w:p>
    <w:p w14:paraId="668646E8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Chuyển hoá: Tăng đường máu; dùng thêm insulin.</w:t>
      </w:r>
    </w:p>
    <w:p w14:paraId="485B2153" w14:textId="77777777" w:rsidR="00EE19FC" w:rsidRPr="00EE19FC" w:rsidRDefault="00EE19FC" w:rsidP="00EE19FC">
      <w:pPr>
        <w:shd w:val="clear" w:color="auto" w:fill="FFFFFF"/>
        <w:spacing w:line="240" w:lineRule="auto"/>
        <w:jc w:val="both"/>
        <w:rPr>
          <w:rFonts w:eastAsia="Times New Roman" w:cs="Times New Roman"/>
          <w:szCs w:val="28"/>
        </w:rPr>
      </w:pPr>
      <w:r w:rsidRPr="00EE19FC">
        <w:rPr>
          <w:rFonts w:eastAsia="Times New Roman" w:cs="Times New Roman"/>
          <w:szCs w:val="28"/>
        </w:rPr>
        <w:t>– GOT, GPT tăng: giảm bớt dung dịch lipid.</w:t>
      </w: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BBB37" w14:textId="77777777" w:rsidR="00924D50" w:rsidRDefault="00924D50" w:rsidP="00616179">
      <w:pPr>
        <w:spacing w:before="0" w:after="0" w:line="240" w:lineRule="auto"/>
      </w:pPr>
      <w:r>
        <w:separator/>
      </w:r>
    </w:p>
  </w:endnote>
  <w:endnote w:type="continuationSeparator" w:id="0">
    <w:p w14:paraId="7E8ABE7B" w14:textId="77777777" w:rsidR="00924D50" w:rsidRDefault="00924D50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4C9D9A72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DC62DE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EE19FC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F02D7" w14:textId="77777777" w:rsidR="00924D50" w:rsidRDefault="00924D50" w:rsidP="00616179">
      <w:pPr>
        <w:spacing w:before="0" w:after="0" w:line="240" w:lineRule="auto"/>
      </w:pPr>
      <w:r>
        <w:separator/>
      </w:r>
    </w:p>
  </w:footnote>
  <w:footnote w:type="continuationSeparator" w:id="0">
    <w:p w14:paraId="0A559DB3" w14:textId="77777777" w:rsidR="00924D50" w:rsidRDefault="00924D50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85A1F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681F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071F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24D50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5DE4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87963"/>
    <w:rsid w:val="00D92253"/>
    <w:rsid w:val="00D93DEF"/>
    <w:rsid w:val="00D94F0E"/>
    <w:rsid w:val="00D95350"/>
    <w:rsid w:val="00DB00C2"/>
    <w:rsid w:val="00DC0A2F"/>
    <w:rsid w:val="00DC2C7D"/>
    <w:rsid w:val="00DC62DE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19FC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E65B3-D5A1-4C14-87AD-C6864681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2025-10-08T01:21:00Z</dcterms:created>
  <dcterms:modified xsi:type="dcterms:W3CDTF">2025-10-09T03:16:00Z</dcterms:modified>
</cp:coreProperties>
</file>